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2" w:type="dxa"/>
        <w:tblInd w:w="108" w:type="dxa"/>
        <w:tblLook w:val="04A0"/>
      </w:tblPr>
      <w:tblGrid>
        <w:gridCol w:w="3828"/>
        <w:gridCol w:w="637"/>
        <w:gridCol w:w="488"/>
        <w:gridCol w:w="510"/>
        <w:gridCol w:w="1088"/>
        <w:gridCol w:w="1026"/>
        <w:gridCol w:w="550"/>
        <w:gridCol w:w="1128"/>
        <w:gridCol w:w="1164"/>
        <w:gridCol w:w="1193"/>
      </w:tblGrid>
      <w:tr w:rsidR="00CE2C39" w:rsidRPr="00CE2C39" w:rsidTr="00CE2C3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J555"/>
            <w:r w:rsidRPr="00CE2C3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CE2C39" w:rsidRPr="00CE2C39" w:rsidTr="00CE2C3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№3</w:t>
            </w:r>
          </w:p>
        </w:tc>
      </w:tr>
      <w:tr w:rsidR="00CE2C39" w:rsidRPr="00CE2C39" w:rsidTr="00CE2C3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МО город Шиханы</w:t>
            </w:r>
          </w:p>
        </w:tc>
      </w:tr>
      <w:tr w:rsidR="00CE2C39" w:rsidRPr="00CE2C39" w:rsidTr="00CE2C3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CE2C39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E2C3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CE2C39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CE2C39" w:rsidRPr="00CE2C39" w:rsidTr="00CE2C39">
        <w:trPr>
          <w:trHeight w:val="435"/>
        </w:trPr>
        <w:tc>
          <w:tcPr>
            <w:tcW w:w="116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gramStart"/>
            <w:r w:rsidRPr="00CE2C3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CE2C3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. Шиханы на 2025 год и на плановый период 2026 и 2027 годов</w:t>
            </w:r>
          </w:p>
        </w:tc>
      </w:tr>
      <w:tr w:rsidR="00CE2C39" w:rsidRPr="00CE2C39" w:rsidTr="00CE2C3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E2C39" w:rsidRPr="00CE2C39" w:rsidTr="00CE2C39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  <w:proofErr w:type="spellEnd"/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proofErr w:type="gramStart"/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</w:tr>
      <w:tr w:rsidR="00CE2C39" w:rsidRPr="00CE2C39" w:rsidTr="00CE2C39">
        <w:trPr>
          <w:trHeight w:val="10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</w:t>
            </w:r>
            <w:proofErr w:type="gramStart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мная</w:t>
            </w:r>
            <w:proofErr w:type="spellEnd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</w:t>
            </w:r>
            <w:proofErr w:type="gramStart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ление</w:t>
            </w:r>
            <w:proofErr w:type="spellEnd"/>
            <w:r w:rsidRPr="00CE2C39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896,7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164 020,1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69 387,0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192 612,4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47 508,6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46 783,0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обеспечение деятельности главы муниципального образования городского округа город Шиханы и </w:t>
            </w: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25 461,8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24 373,2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24 003,9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24 903,5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23 184,5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23 449,6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24 349,2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17 680,0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17 724,6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18 394,9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CE2C39" w:rsidRPr="00CE2C39" w:rsidTr="00CE2C39">
        <w:trPr>
          <w:trHeight w:val="1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E2C39" w:rsidRPr="00CE2C39" w:rsidTr="00CE2C39">
        <w:trPr>
          <w:trHeight w:val="1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19 518,0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8 769,9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8 769,9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CE2C39" w:rsidRPr="00CE2C39" w:rsidTr="00CE2C39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CE2C39" w:rsidRPr="00CE2C39" w:rsidTr="00CE2C39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6 861,7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94 830,2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5 174,7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5 315,8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91 156,1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8 781,3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82 274,8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24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"Проведение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объекты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,п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1 681,9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культуры и средств массовой информации в муниципальном образовании городского округа город </w:t>
            </w: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Основное мероприятие "Функционирование МКУ "Редакция газеты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1 296,7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16 224,4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15 048,9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15 647,4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16 217,5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15 042,7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15 641,9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8 082,5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пустующие) </w:t>
            </w: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CE2C39" w:rsidRPr="00CE2C39" w:rsidTr="00CE2C39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134 810,2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112 086,6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112 255,6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112 947,1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101 402,7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CE2C39" w:rsidRPr="00CE2C39" w:rsidTr="00CE2C39">
        <w:trPr>
          <w:trHeight w:val="8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Оснащение и укрепление материально-технической базы муниципальных </w:t>
            </w: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41 778,0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CE2C39" w:rsidRPr="00CE2C39" w:rsidTr="00CE2C39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1 051,6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CE2C39" w:rsidRPr="00CE2C39" w:rsidTr="00CE2C39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6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CE2C39" w:rsidRPr="00CE2C39" w:rsidTr="00CE2C39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физической культуры, спорта и молодежной политики в муниципальном образовании городского округа город </w:t>
            </w: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CE2C39" w:rsidRPr="00CE2C39" w:rsidTr="00CE2C39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CE2C39" w:rsidRPr="00CE2C39" w:rsidTr="00CE2C39">
        <w:trPr>
          <w:trHeight w:val="11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399,4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406,5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CE2C39" w:rsidRPr="00CE2C39" w:rsidTr="00CE2C39">
        <w:trPr>
          <w:trHeight w:val="20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338,3</w:t>
            </w:r>
          </w:p>
        </w:tc>
      </w:tr>
      <w:tr w:rsidR="00CE2C39" w:rsidRPr="00CE2C39" w:rsidTr="00CE2C39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CE2C39" w:rsidRPr="00CE2C39" w:rsidTr="00CE2C39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CE2C39" w:rsidRPr="00CE2C39" w:rsidTr="00CE2C39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"Участие во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20 681,8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</w:t>
            </w: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CE2C39" w:rsidRPr="00CE2C39" w:rsidTr="00CE2C39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CE2C39" w:rsidRPr="00CE2C39" w:rsidTr="00CE2C39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</w:t>
            </w: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E2C39" w:rsidRPr="00CE2C39" w:rsidTr="00CE2C39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39" w:rsidRPr="00CE2C39" w:rsidRDefault="00CE2C39" w:rsidP="00CE2C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2C3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751B16" w:rsidRDefault="00751B16"/>
    <w:sectPr w:rsidR="00751B16" w:rsidSect="007F6341">
      <w:pgSz w:w="11906" w:h="16838"/>
      <w:pgMar w:top="284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6341"/>
    <w:rsid w:val="00243186"/>
    <w:rsid w:val="005360FB"/>
    <w:rsid w:val="0072104B"/>
    <w:rsid w:val="00751B16"/>
    <w:rsid w:val="007F6341"/>
    <w:rsid w:val="00830D4F"/>
    <w:rsid w:val="00875894"/>
    <w:rsid w:val="009272D9"/>
    <w:rsid w:val="00956636"/>
    <w:rsid w:val="00AC099F"/>
    <w:rsid w:val="00B54BA7"/>
    <w:rsid w:val="00C26424"/>
    <w:rsid w:val="00CE2C39"/>
    <w:rsid w:val="00E2558A"/>
    <w:rsid w:val="00E45EF5"/>
    <w:rsid w:val="00FF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10685</Words>
  <Characters>60911</Characters>
  <Application>Microsoft Office Word</Application>
  <DocSecurity>0</DocSecurity>
  <Lines>507</Lines>
  <Paragraphs>142</Paragraphs>
  <ScaleCrop>false</ScaleCrop>
  <Company/>
  <LinksUpToDate>false</LinksUpToDate>
  <CharactersWithSpaces>71454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2024-11-13T09:10:00Z</dcterms:created>
  <dcterms:modified xsi:type="dcterms:W3CDTF">2025-02-24T10:38:00Z</dcterms:modified>
</cp:coreProperties>
</file>